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COST ARTS DISSEMINATION DAY – WESTERN EUROPE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Materials: COST ARTS brochure; Agenda; List of links / outputs in press (Roadmap, Book);</w:t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4"/>
        <w:gridCol w:w="5103"/>
        <w:gridCol w:w="2615"/>
      </w:tblGrid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Wednesday 9</w:t>
            </w:r>
            <w:r>
              <w:rPr>
                <w:b/>
                <w:i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September – Manchester Science Park 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and Coffee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Keith McCabe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Overview of the Outcomes and Benefits of ARTS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McCluskey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Models and Scope of ARTS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McCabe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mbria"/>
                <w:color w:val="000000"/>
                <w:sz w:val="24"/>
                <w:szCs w:val="24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>Autonomic Network Management - Business Case and Model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Barry Moore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Autonomic Issues in Travel Management: Deployment &amp; Dissemination Roadmap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Muna Hamdi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Stream Processing and ARTS (Working Group 1 results)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 Rana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Travel Objectives and the Potential of Incentive-Based Change to Support Sustainable Transport (Working Group 4 results)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Mohammed Mayat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Demonstrations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  Applications in Traffic Management using AI Planning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ollegamentoInternet"/>
                  <w:color w:val="000000" w:themeColor="text1"/>
                  <w:u w:val="none"/>
                </w:rPr>
                <w:t>Matija Gulić</w:t>
              </w:r>
              <w:r>
                <w:rPr>
                  <w:rStyle w:val="CollegamentoInternet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NimbusRomNo9L-Medi"/>
                <w:sz w:val="20"/>
                <w:szCs w:val="20"/>
              </w:rPr>
              <w:t>PDDL+ Planning for Effective Macroscopic Traffic Models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Style w:val="Rwro"/>
              </w:rPr>
            </w:pPr>
            <w:r>
              <w:rPr>
                <w:sz w:val="20"/>
                <w:szCs w:val="20"/>
              </w:rPr>
              <w:t>Mauro Vallati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Hands-on” Demos of Tools</w:t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Matija Gulić, Mauro Vallati, Sumit Mund</w:t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5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Mono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wro" w:customStyle="1">
    <w:name w:val="rwro"/>
    <w:basedOn w:val="DefaultParagraphFont"/>
    <w:qFormat/>
    <w:rsid w:val="00407c7a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07c7a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estopreformattato" w:customStyle="1">
    <w:name w:val="Testo preformattato"/>
    <w:basedOn w:val="Normal"/>
    <w:qFormat/>
    <w:rsid w:val="003b4121"/>
    <w:pPr>
      <w:tabs>
        <w:tab w:val="left" w:pos="720" w:leader="none"/>
      </w:tabs>
      <w:suppressAutoHyphens w:val="true"/>
      <w:spacing w:lineRule="atLeast" w:line="100" w:before="0" w:after="0"/>
    </w:pPr>
    <w:rPr>
      <w:rFonts w:ascii="DejaVu Sans Mono" w:hAnsi="DejaVu Sans Mono" w:eastAsia="DejaVu Sans Mono" w:cs="DejaVu Sans Mono"/>
      <w:sz w:val="20"/>
      <w:szCs w:val="20"/>
      <w:lang w:eastAsia="en-GB"/>
    </w:rPr>
  </w:style>
  <w:style w:type="paragraph" w:styleId="Default" w:customStyle="1">
    <w:name w:val="Default"/>
    <w:qFormat/>
    <w:rsid w:val="00265cbd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eastAsia="Calibri" w:cs="Georgia"/>
      <w:color w:val="00000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73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taffmail.hud.ac.uk/owa/?ae=Item&amp;t=IPM.Note&amp;a=New&amp;to=Matija.Gulic@fer.hr&amp;nm=Matija+Guli&#263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2015-07-09T13:01:00Z</dcterms:created>
  <dc:creator>lapadmin</dc:creator>
  <dc:language>it-IT</dc:language>
  <cp:lastModifiedBy>valla </cp:lastModifiedBy>
  <cp:lastPrinted>2015-07-09T07:54:00Z</cp:lastPrinted>
  <dcterms:modified xsi:type="dcterms:W3CDTF">2015-11-11T14:47:38Z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